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05" w:rsidRPr="00304605" w:rsidRDefault="00304605" w:rsidP="00304605">
      <w:pPr>
        <w:spacing w:before="120" w:after="72" w:line="240" w:lineRule="auto"/>
        <w:ind w:left="180"/>
        <w:outlineLvl w:val="3"/>
        <w:rPr>
          <w:rFonts w:ascii="Verdana" w:eastAsia="Times New Roman" w:hAnsi="Verdana" w:cs="Times New Roman"/>
          <w:b/>
          <w:bCs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b/>
          <w:bCs/>
          <w:color w:val="181A12"/>
          <w:sz w:val="19"/>
          <w:szCs w:val="19"/>
          <w:lang w:eastAsia="fr-FR"/>
        </w:rPr>
        <w:t>Lundi 30 mai 2011 - Attente des professionnels sur les pharmaciens de demain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Pharmacien en officine (communautaire) : gardien des poisons versus gardien des consensus :</w:t>
      </w:r>
    </w:p>
    <w:p w:rsidR="00304605" w:rsidRPr="00304605" w:rsidRDefault="00304605" w:rsidP="00304605">
      <w:pPr>
        <w:numPr>
          <w:ilvl w:val="0"/>
          <w:numId w:val="1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5" w:tgtFrame="_blank" w:history="1"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Regard d'un pharmacien officinal par ailleurs enseignant</w:t>
        </w:r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, O.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Catala</w:t>
      </w:r>
      <w:proofErr w:type="spellEnd"/>
    </w:p>
    <w:p w:rsidR="00304605" w:rsidRPr="00304605" w:rsidRDefault="00304605" w:rsidP="00304605">
      <w:pPr>
        <w:numPr>
          <w:ilvl w:val="0"/>
          <w:numId w:val="1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Regard d'un pharmacien officinal par ailleurs président du Conseil Régional de l'Ordre des Pharmaciens Rhône-Alpes,</w:t>
      </w:r>
    </w:p>
    <w:p w:rsidR="00304605" w:rsidRPr="00304605" w:rsidRDefault="00304605" w:rsidP="00304605">
      <w:p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B. Minne</w:t>
      </w:r>
    </w:p>
    <w:p w:rsidR="00304605" w:rsidRPr="00304605" w:rsidRDefault="00304605" w:rsidP="00304605">
      <w:pPr>
        <w:numPr>
          <w:ilvl w:val="0"/>
          <w:numId w:val="1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Pharmacien industriel : diplôme autosuffisant versus nécessité double formation ?</w:t>
      </w:r>
    </w:p>
    <w:p w:rsidR="00304605" w:rsidRPr="00304605" w:rsidRDefault="00304605" w:rsidP="00304605">
      <w:pPr>
        <w:numPr>
          <w:ilvl w:val="0"/>
          <w:numId w:val="1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Pharmacien hospitalier : Pharmacien gestionnaire versus Pharmacien clinicien,</w:t>
      </w:r>
    </w:p>
    <w:p w:rsidR="00304605" w:rsidRPr="00304605" w:rsidRDefault="00304605" w:rsidP="00304605">
      <w:p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P. Maire, Pharmacien des Hôpitaux, Responsable du pôle pharmaceutique HCL service commun de Sciences Humaines et Sociales, UCBL</w:t>
      </w:r>
    </w:p>
    <w:p w:rsidR="00304605" w:rsidRPr="00304605" w:rsidRDefault="00304605" w:rsidP="00304605">
      <w:pPr>
        <w:numPr>
          <w:ilvl w:val="0"/>
          <w:numId w:val="1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Pharmacien biologiste : compétence versus concurrence</w:t>
      </w:r>
    </w:p>
    <w:p w:rsidR="00304605" w:rsidRPr="00304605" w:rsidRDefault="00304605" w:rsidP="00304605">
      <w:pPr>
        <w:spacing w:before="120" w:after="72" w:line="240" w:lineRule="auto"/>
        <w:ind w:left="180"/>
        <w:outlineLvl w:val="3"/>
        <w:rPr>
          <w:rFonts w:ascii="Verdana" w:eastAsia="Times New Roman" w:hAnsi="Verdana" w:cs="Times New Roman"/>
          <w:b/>
          <w:bCs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b/>
          <w:bCs/>
          <w:color w:val="181A12"/>
          <w:sz w:val="19"/>
          <w:szCs w:val="19"/>
          <w:lang w:eastAsia="fr-FR"/>
        </w:rPr>
        <w:t>Mardi 31 mai 2011 - Pharmacien (Bio) polytechnicien de la Santé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Sciences chimiques versus sciences biologiques</w:t>
      </w:r>
    </w:p>
    <w:p w:rsidR="00304605" w:rsidRPr="00304605" w:rsidRDefault="00304605" w:rsidP="00304605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6" w:tgtFrame="_blank" w:history="1"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 xml:space="preserve">Pr M. </w:t>
        </w:r>
        <w:proofErr w:type="spellStart"/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Leborgne</w:t>
        </w:r>
        <w:proofErr w:type="spellEnd"/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ISPB Lyon</w:t>
      </w:r>
    </w:p>
    <w:p w:rsidR="00304605" w:rsidRPr="00304605" w:rsidRDefault="00304605" w:rsidP="00304605">
      <w:pPr>
        <w:numPr>
          <w:ilvl w:val="0"/>
          <w:numId w:val="2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7" w:tgtFrame="_blank" w:history="1"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Pr P. Cohen</w:t>
        </w:r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ISPB Lyon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Sciences fondamentales versus sciences appliquées</w:t>
      </w:r>
    </w:p>
    <w:p w:rsidR="00304605" w:rsidRPr="00304605" w:rsidRDefault="00304605" w:rsidP="00304605">
      <w:pPr>
        <w:numPr>
          <w:ilvl w:val="0"/>
          <w:numId w:val="3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8" w:tgtFrame="_blank" w:history="1"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Pour le pharmacien de demain une formation issue du terrain</w:t>
        </w:r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, Pr Y.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Bensouda</w:t>
      </w:r>
      <w:proofErr w:type="spell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Rabat</w:t>
      </w:r>
    </w:p>
    <w:p w:rsidR="00304605" w:rsidRPr="00304605" w:rsidRDefault="00304605" w:rsidP="00304605">
      <w:pPr>
        <w:spacing w:before="120" w:after="72" w:line="240" w:lineRule="auto"/>
        <w:ind w:left="180"/>
        <w:outlineLvl w:val="3"/>
        <w:rPr>
          <w:rFonts w:ascii="Verdana" w:eastAsia="Times New Roman" w:hAnsi="Verdana" w:cs="Times New Roman"/>
          <w:b/>
          <w:bCs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b/>
          <w:bCs/>
          <w:color w:val="181A12"/>
          <w:sz w:val="19"/>
          <w:szCs w:val="19"/>
          <w:lang w:eastAsia="fr-FR"/>
        </w:rPr>
        <w:t>Mardi 31 mai 2011 - Sciences et conscience : l'apport des sciences humaines et sociales dans la formation du pharmacien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Sciences de l'éducation / Sciences sociales</w:t>
      </w:r>
    </w:p>
    <w:p w:rsidR="00304605" w:rsidRPr="00304605" w:rsidRDefault="00304605" w:rsidP="00304605">
      <w:pPr>
        <w:numPr>
          <w:ilvl w:val="0"/>
          <w:numId w:val="4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B.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Allenet</w:t>
      </w:r>
      <w:proofErr w:type="spell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MCU-PH, Grenoble</w:t>
      </w:r>
    </w:p>
    <w:p w:rsidR="00304605" w:rsidRPr="00304605" w:rsidRDefault="00304605" w:rsidP="00304605">
      <w:pPr>
        <w:numPr>
          <w:ilvl w:val="0"/>
          <w:numId w:val="4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9" w:tgtFrame="_blank" w:history="1"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Diane Gal</w:t>
        </w:r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Fédération Internationale Pharmaceutique</w:t>
      </w:r>
    </w:p>
    <w:p w:rsidR="00304605" w:rsidRPr="00304605" w:rsidRDefault="00304605" w:rsidP="00304605">
      <w:pPr>
        <w:numPr>
          <w:ilvl w:val="0"/>
          <w:numId w:val="4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P-M. David, Doctorant Montréal-Lyon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Sciences juridiques et économiques</w:t>
      </w:r>
    </w:p>
    <w:p w:rsidR="00304605" w:rsidRPr="00304605" w:rsidRDefault="00304605" w:rsidP="00304605">
      <w:pPr>
        <w:numPr>
          <w:ilvl w:val="0"/>
          <w:numId w:val="5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10" w:tgtFrame="_blank" w:history="1"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 xml:space="preserve">M. </w:t>
        </w:r>
        <w:proofErr w:type="spellStart"/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Aulois</w:t>
        </w:r>
        <w:proofErr w:type="spellEnd"/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-Griot</w:t>
        </w:r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MCU, Bordeaux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Conférence solennelle de clôture</w:t>
      </w:r>
    </w:p>
    <w:p w:rsidR="00304605" w:rsidRPr="00304605" w:rsidRDefault="00304605" w:rsidP="00304605">
      <w:pPr>
        <w:numPr>
          <w:ilvl w:val="0"/>
          <w:numId w:val="6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hyperlink r:id="rId11" w:tgtFrame="_blank" w:history="1">
        <w:proofErr w:type="gramStart"/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>sciences</w:t>
        </w:r>
        <w:proofErr w:type="gramEnd"/>
        <w:r w:rsidRPr="00304605">
          <w:rPr>
            <w:rFonts w:ascii="Verdana" w:eastAsia="Times New Roman" w:hAnsi="Verdana" w:cs="Times New Roman"/>
            <w:color w:val="332510"/>
            <w:sz w:val="19"/>
            <w:szCs w:val="19"/>
            <w:u w:val="single"/>
            <w:lang w:eastAsia="fr-FR"/>
          </w:rPr>
          <w:t xml:space="preserve"> et francophonie : oxymore ?</w:t>
        </w:r>
      </w:hyperlink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, M.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Woronoff</w:t>
      </w:r>
      <w:proofErr w:type="spell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Pr émérite, Université de Franche-Comté</w:t>
      </w:r>
    </w:p>
    <w:p w:rsidR="00304605" w:rsidRPr="00304605" w:rsidRDefault="00304605" w:rsidP="00304605">
      <w:pPr>
        <w:spacing w:before="180" w:after="180" w:line="240" w:lineRule="auto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Les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Pensières</w:t>
      </w:r>
      <w:proofErr w:type="spell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 - Faux médicaments</w:t>
      </w:r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Présentations de la journée et organisation, Pr F. Locher</w:t>
      </w:r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Le contexte des faux médicaments et les actions de la Fondation Chirac, H.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Degui</w:t>
      </w:r>
      <w:proofErr w:type="spell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, P. Catalan</w:t>
      </w:r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Définition et exemples de faux médicaments, A. Ba, S.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Barbereau</w:t>
      </w:r>
      <w:proofErr w:type="spellEnd"/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La lutte contre les faux médicaments, </w:t>
      </w:r>
      <w:proofErr w:type="spellStart"/>
      <w:proofErr w:type="gram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W.Roge</w:t>
      </w:r>
      <w:proofErr w:type="spellEnd"/>
      <w:proofErr w:type="gram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, J. </w:t>
      </w:r>
      <w:proofErr w:type="spell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Franquet</w:t>
      </w:r>
      <w:proofErr w:type="spellEnd"/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Atelier </w:t>
      </w:r>
      <w:proofErr w:type="gramStart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1:</w:t>
      </w:r>
      <w:proofErr w:type="gramEnd"/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 xml:space="preserve"> Faux médicaments et formation</w:t>
      </w:r>
    </w:p>
    <w:p w:rsidR="00304605" w:rsidRPr="00304605" w:rsidRDefault="00304605" w:rsidP="00304605">
      <w:p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Sensibilisation des étudiants dans le cursus des études.</w:t>
      </w:r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Atelier 2 : Faux médicaments et recherche</w:t>
      </w:r>
    </w:p>
    <w:p w:rsidR="00304605" w:rsidRPr="00304605" w:rsidRDefault="00304605" w:rsidP="00304605">
      <w:p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Quels sont les axes de recherche pour documenter cette question ?</w:t>
      </w:r>
    </w:p>
    <w:p w:rsidR="00304605" w:rsidRPr="00304605" w:rsidRDefault="00304605" w:rsidP="00304605">
      <w:pPr>
        <w:numPr>
          <w:ilvl w:val="0"/>
          <w:numId w:val="7"/>
        </w:num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Atelier 3 : Pharmacovigilance et Facultés de Pharmacie :</w:t>
      </w:r>
    </w:p>
    <w:p w:rsidR="00304605" w:rsidRPr="00304605" w:rsidRDefault="00304605" w:rsidP="00304605">
      <w:pPr>
        <w:spacing w:after="0" w:line="240" w:lineRule="auto"/>
        <w:ind w:left="360"/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</w:pPr>
      <w:r w:rsidRPr="00304605">
        <w:rPr>
          <w:rFonts w:ascii="Verdana" w:eastAsia="Times New Roman" w:hAnsi="Verdana" w:cs="Times New Roman"/>
          <w:color w:val="181A12"/>
          <w:sz w:val="19"/>
          <w:szCs w:val="19"/>
          <w:lang w:eastAsia="fr-FR"/>
        </w:rPr>
        <w:t>Rôles possibles des facultés de pharmacie dans la mise en place d'un système de vigilance sur les faux médicaments dans les pays.</w:t>
      </w:r>
    </w:p>
    <w:p w:rsidR="008E2302" w:rsidRDefault="008E2302">
      <w:bookmarkStart w:id="0" w:name="_GoBack"/>
      <w:bookmarkEnd w:id="0"/>
    </w:p>
    <w:sectPr w:rsidR="008E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8C2"/>
    <w:multiLevelType w:val="multilevel"/>
    <w:tmpl w:val="8974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03305"/>
    <w:multiLevelType w:val="multilevel"/>
    <w:tmpl w:val="2D84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052D4"/>
    <w:multiLevelType w:val="multilevel"/>
    <w:tmpl w:val="C2B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321EF"/>
    <w:multiLevelType w:val="multilevel"/>
    <w:tmpl w:val="03E2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70F5D"/>
    <w:multiLevelType w:val="multilevel"/>
    <w:tmpl w:val="46A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0665E"/>
    <w:multiLevelType w:val="multilevel"/>
    <w:tmpl w:val="CAC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650D2"/>
    <w:multiLevelType w:val="multilevel"/>
    <w:tmpl w:val="842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05"/>
    <w:rsid w:val="00304605"/>
    <w:rsid w:val="008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CF9F-6FA2-4CC4-872A-47BF53B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046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46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304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dpharmef.org/Doc/Conf/11Lyon/CIDHARMEF-Lyon-110531-Y-Bensoud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idpharmef.org/Doc/Conf/11Lyon/P%20Cohen_31mai2011_ISPB%20Ly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dpharmef.org/Doc/Conf/11Lyon/CIDPharmef-M%20Le%20Borgne_31%20mai%20211.pdf" TargetMode="External"/><Relationship Id="rId11" Type="http://schemas.openxmlformats.org/officeDocument/2006/relationships/hyperlink" Target="http://cidpharmef.org/Doc/Conf/11Lyon/science%20et%20francophonie.docx" TargetMode="External"/><Relationship Id="rId5" Type="http://schemas.openxmlformats.org/officeDocument/2006/relationships/hyperlink" Target="http://cidpharmef.org/Doc/Conf/11Lyon/cidpharmef%202011.pdf" TargetMode="External"/><Relationship Id="rId10" Type="http://schemas.openxmlformats.org/officeDocument/2006/relationships/hyperlink" Target="http://cidpharmef.org/Doc/Conf/11Lyon/Science%20sans%20conscience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dpharmef.org/Doc/Conf/11Lyon/20110531_CIDPHARMEF_FIP_Ed_P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Seb26Mac</dc:creator>
  <cp:keywords/>
  <dc:description/>
  <cp:lastModifiedBy>Seb26Mac</cp:lastModifiedBy>
  <cp:revision>1</cp:revision>
  <dcterms:created xsi:type="dcterms:W3CDTF">2016-10-03T11:43:00Z</dcterms:created>
  <dcterms:modified xsi:type="dcterms:W3CDTF">2016-10-03T11:44:00Z</dcterms:modified>
</cp:coreProperties>
</file>